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Лямкина З.К. обратилась в суд с заявлением об исключении из конкурсной массы должника объектов недвижимого имущества. Определением Арбитражного суда Краснодарского края от 08.10.2019, оставленным без изменения постановлениями Пятнадцатого арбитражного апелляционного суда от 13.12.2019 и Арбитражного суда Северо-Кавказского округа от 14.02.2020, в удовлетворении заявления отказано. В кассационной жалобе, поданной в Верховный Суд Российской Федерации, заявитель просит отменить указанные судебные акты и принять по делу новый судебный акт об удовлетворении заявленных требований.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2 Между тем по результатам изучения состоявшихся по делу судебных актов и доводов кассационной жалобы таких оснований не установлено. Разрешая обособленный спор, суды руководствовались статьями 131, 201.8, 201.11 Федерального закона от 26.10.2002 № 127-ФЗ «О несостоятельности (банкротстве), пунктом 34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 и исходили из того, что строительство многоквартирного дома не завершено, акт приема-передачи у заявителя отсутствует, в связи с чем пришли к выводу об отсутствии оснований для исключения реально отсутствующего и не являющегося оборотоспособным имущества из конкурсной массы.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Лямкиной Зареме Казбековне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