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«Алмаз Капитал» (далее – общество) обратилось в суд с заявлением о правопреемстве кредитора – общества с ограниченной ответственностью «СБК ПЛЮС» на него в связи с заключением договоров уступки прав (требований) от 21.09.2018 и 30.11.2018. Определением Арбитражного суда Ставропольского края от 18.04.2019, оставленным без изменения постановлениями Шестнадцатого арбитражного апелляционного суда от 11.12.2019 и Арбитражного суда Северо-Кавказского округа от 04.03.2020,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статьёй 48 Арбитражного процессуального кодекса Российской Федерации, статьями, 382, 384, 388 Гражданского кодекса Российской Федерации, абзацем четвёртым пункта 4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 и исходили из действительности договоров цессии, а также переданных по ним прав требований к должнику, что повлекло правопреемство в материальном правоотношении и послужило основанием для осуществления процессуальной замены кредитора на его правопреемника.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заявителей о заинтересованности общества и должника, наряду с иными изложенными в кассационной жалобе доводами были предметом рассмотрения судов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«Производственная компания «Энергосберегающие Технологии»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