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частная компания с ограниченной ответственностью «Casafruit B.V.» обратилась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«Ритзон фреш» 5 455 243 долларов 60 центов США задолженности и договорных процентов по день фактического исполнения обязательств; взыскании солидарно с общества с ограниченной ответственностью «Голден фрут» и ООО «Ритзон фреш» 441 696 долларов США задолженности и договорных процентов по день фактического исполнения обязательств; взыскании солидарно с ООО «Ритзон фреш» и общества с ограниченной ответственностью «Фруктторг» 330 912 долларов 50 центов США задолженности и договорных процентов по день фактического исполнения обязательств; взыскании с ООО «Ритзон фреш» 5 455 243 долларов 60 центов США неосновательного обогащения; взыскании солидарно с ООО «Ритзон фреш» и ООО «Голден Фрут» неосновательного обогащения в 2 размере 441 696 долларов США; взыскании солидарно с ООО «Ритзон фреш» и ООО «Фруктторг» неосновательного обогащения в размере 330 912 долларов 50 центов США. Решением Арбитражного суда города Санкт-Петербурга и Ленинградской области от 30.05.2019 в удовлетворении иска отказано. Постановлением Тринадцатого арбитражного апелляционного суда от 14.10.2019 решение суда первой инстанции оставлено без изменения. Арбитражный суд Северо-Западного округа постановлением от 12.02.2020 указанные судебные акты оставил без изменения. Частная компания с ограниченной ответственностью «Casafruit B.V.»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связи, определив, что в соответствии с положениями статей 1186, 1211 Гражданского кодекса Российской Федерации к спорным отношениям подлежит применению законодательство Российской Федерации, установив отсутствие доказательств заключения между сторонами договора, отсутствие доказательств передачи товара истцом ответчикам, а также отсутствие доказательств возникновения на стороне ответчиков неосновательного обогащения, суды пришли к выводу о недоказанности заявленных требований.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частной компании с ограниченной ответственностью «Casafruit B.V.»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