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04.06.2019, оставленным без изменения постановлением Двадцать первого арбитражного апелляционного суда от 25.09.2019, иск удовлетворен. Арбитражный суд Центрального округа постановлением от 03.02.2020 решение от 04.06.2019 и постановление Двадцать первого арбитражного апелляционного суда от 25.09.2019 оставил без изменения. В кассационной жалобе аэропорт просит об отмене судебных актов вследствие отсутствия условий для взыскания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необходимые в силу статей 15, 393 Гражданского кодекса Российской Федерации условия для взыскания с аэропорта убытков в заявленном размере, установлены судами и не подлежат пересмотру на стадии кассационного 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«Международный аэропорт «Симферополь»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