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дела решением Арбитражного суда Челябинской области от 08.05.2019 в удовлетворении заявленного требования отказано. Постановлением Восемнадцатого арбитражного апелляционного суда от 24.10.2019 решение суда первой инстанции изменено, решение инспекции признано недействительным в части начисления налога на прибыль, пеней и штрафа по данному налогу. В удовлетворении требования в остальной части отказано. Постановлением Арбитражного суда Уральского округа от 28.02.2020 постановление суда апелляционной инстанции отменено и оставлено в силе решение суда от 08.05.2019. В кассационной жалобе, поданной в Верховный Суд Российской Федерации, общество, ссылаясь на существенное нарушение норм права, просит отменить решение суда первой инстанции и постановление суда округа по эпизоду доначислений по налогу на прибыль и в остальной части оставить названные судебные акты без изменения.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доначисления 4 045 347 рублей налога на прибыль, начисления 687 751 рубля 20 копеек пеней и 404 534 рублей 70 копеек штрафа послужил вывод налогового органа о занижении обществом налоговой базы в связи с неправомерным включением в состав расходов затрат по договорам на выполнение субподрядных работ, заключенным с обществами с ограниченной ответственностью «Альфа КС», «СтройТехМонтаж-Т», «Авангард М», «Уралфаворит» и «УралМетСнаб», а также в результате неотражения в составе внереализационных доходов перечислений на расчетный счет по платежному поручению от 29.01.2014 № 948 в размере 763 рублей 46 копеек. Признавая решение инспекции в указанной части законным, суд первой инстанции, оценив представленные в материалы дела доказательства, руководствуясь положениями статей 247 , 252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доказанности налоговым органом совокупности обстоятельств, свидетельствующих о направленности действий общества на получение из бюджета необоснованной налоговой выгоды в отсутствие реальных хозяйственных операций с заявленными контрагентами, а также неполного отражения внереализационных доходов. Судом отмечено, что представленные обществом первичные документы содержат недостоверные и фальсифицированные сведения относительно взаимоотношений со спорными контрагентами, которые обладали признаками номинальных организаций, не имеющих условий для выполнения работ, предусмотренных договорами субподряда. При этом работы на объектах заказчиков фактически выполнялись силами самого общества или привлеченными им физическими лицами. Учитывая установленные обстоятельства, свидетельствующие об умышленности действий участников сделки, направленных на незаконное получение вычетов по НДС и увеличение расходов по налогу на прибыль, суд указал на стремление участников сделки скрыть достоверную информацию о реальных обстоятельствах хозяйственной деятельности и признал правомерным определение прав и обязанностей налогоплательщика с учетом подлинного экономического содержания их деятельности применительно к подпункту 7 пункта 1 статьи 31 Налогового кодекса. Расчет налоговых обязательств судом проверен и признан верным. Суд округа поддержал выводы суда первой инстанции, отметив, что размер обязательств общества по налогу на прибыль определен инспекцией с учетом фактически понесенных затрат исходя из рыночных цен, применяемых по аналогичным сделкам. Вместе с тем суд кассационной инстанции указал, что признание решения инспекции незаконным в части доначисления налога на прибыль в связи с неполным отражением внереализационных доходов осуществлено судом апелляционной инстанции с нарушением статьи 170 Арбитражного процессуального кодекса Российской Федерации. Довод о нарушении судом округа норм процессуального права, выразившемся в превышении полномочий и переоценке представленных в материалы дела доказательств, подлежит отклонению как не нашедший своего подтверждения в ходе рассмотрения кассационной жалобы. Иные доводы, изложенные в кассационной жалобе, не опровергают выводы судов первой инстанции и округа, не свидетельствуют о нарушениях норм материального и процессуального права, повлиявших на исход дела, направлены на оспаривание выводов судов по фактическим обстоятельствам спора и основаны на ином применении к ним положений законодательства,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«ТЕМП-Р.О.С.С.»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"ТЕМП-РОСС" (подробнее) Ответчики: МИФНС России №17 по Челябинской области (подробнее) Иные лица: ООО "ТЕМП-Р.О.С.С." (подробнее) УФНС РОССИИ ПО ЧЕЛЯБИНСКОЙ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