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19.04.2019, оставленным без изменения постановлением Девятого арбитражного апелляционного суда от 22.07.2019, в удовлетворении иска отказано. Арбитражный суд Московского округа постановлением от 12.02.2020 решение от 19.04.2019 и постановление Девятого арбитражного апелляционного суда от 22.07.2019 оставил без изменения В кассационной жалобе партнерство просит об отмене судебных актов, ссылаясь на нарушившее его права неосновательное придание приоритета нормативному акту Банка России над нормами Федерального закона от 25.04.2002 № 40-ФЗ «Об обязательном страховании гражданской ответственности владельцев транспортных средств» (далее – Закон об ОСАГО).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Размер страховой выплаты по ОСАГО определяется с учетом износа поврежденных запасных частей. Это же правило распространяется на случай осуществления страхового возмещения посредством организации восстановительного ремонта на станции технического обслуживания. Произведенная партнерством доплата за выполненный восстановительный ремонт, падающая на износ замененных комплектующих, определена по правилам пунктов 17, 19 статьи 12 Закона об ОСАГО, отсылающих к установленному Банком России порядку, поэтому правомерно признана не подлежащей возврату страховщиком.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некоммерческому партнерству «Союз юных журналистов»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