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25.04.2019 в удовлетворении иска отказано. Постановлением Девятого арбитражного апелляционного суда от 02.10.2019, оставленным без изменения постановлением Арбитражного суда Московского округа от 03.02.2020, решение суда первой инстанции отменено, исковое требование удовлетворено частично, с общества в пользу учреждения взыскана неустойка в размере 11 210 100 рублей. В удовлетворении иска в остальной части отказано. В кассационной жалобе, поданной в Верховный Суд Российской Федерации, общество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(государственный заказчик) и обществом (генеральный подрядчик) заключен государственный контракт от 14.10.2014 № 324-ГК-2014 на выполнение строительных работ по объекту «Строительство многофункционального буксира-спасателя мощностью 2,5-3 МВт». Ссылаясь на то, что в нарушение условий контракта общество осуществило выполнение работ по этапу «Спуск на воду головного (первого) судна» стоимостью 434 500 000 рублей с просрочкой в 48 дней, по этапу «Спуск на воду серийного (второго) судна» стоимостью 434 500 000 рублей с просрочкой в 39 дней, общество обратилось в суд с иском о взыскании неустойки в размере 62 568 000 рублей за период с 02.07.2016 по 19.08.2016 и в размере 49 533 000 рублей за период с 21.10.2016 по 29.11.2016 соответственно. Отказывая в удовлетворении иска, суд первой инстанции исходил из того, что подрядчик подлежит освобождению от ответственности за просрочку в спуске судна в соответствии со статьей 401 Гражданского кодекса Российской Федерации (далее – Гражданский кодекс), поскольку ее причиной явились непредотвратимые обстоятельства, а именно отсутствие у подрядчика возможности закупить краску у ее иностранного производителя ввиду отказа иностранного госоргана в выдаче разрешения на экспорт. Суд апелляционной инстанции, рассматривая спор, установил, что приведенные судом первой инстанции обстоятельства не соответствуют имеющимся в материалах дела доказательствам, свидетельствующим об отсутствии непредотвратимых обстоятельств и иных оснований для освобождения подрядчика от ответственности за просрочку в пуске судна. Апелляционная инстанция отметила, что подрядчик к иностранному производителю краски с офертой о заключении договора не обращался, также материалы дела не содержат доказательств принятия иностранным госорганом решения по вопросам о ввозе данной краски на территорию Российской Федерации, о продаже краски подрядчику и для использования в выполнении работы по проекту MPSV12. 3 Учитывая установленные обстоятельства, руководствуясь положениями статей 309, 310, 330, 333, 702, 708, 740, 763 Гражданского кодекса, суд апелляционной инстанции указал на обоснованность требования заказчика о взыскании с подрядчика предусмотренной контрактом неустойки. Вместе с тем, принимая во внимание явную несоразмерность начисленной учреждением неустойки последствиям нарушения обязательства и отсутствие неблагоприятных правовых последствий от ненадлежащего исполнения подрядчиком принятых на себя обязательств, руководствуясь статьей 333 Гражданского кодекса, о применении которой заявлено подрядчиком, апелляционный суд пришел к выводу о возможности снижении взыскиваемой неустойки до 11 210 100 рублей. Суд округа поддержал выводы суда апелляционной инстанции. Доводы, приведенные заявителем в кассационной жалобе со ссылкой на судебную практику по иным делам, не опровергают выводы судов апелляционной инстанции и округа, сделанные с учетом установленных обстоятельств настоящего спора, и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выводами судов по фактическим обстоятельствам спора и оценкой представленных в материалы дела доказательств,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«Невский судостроительно-судоремонтный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