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29.04.2019 в иске отказано. Постановлением Девятого арбитражного апелляционного суда от 05.08.2019, оставленным без изменения постановлением Арбитражного суда Московского округа от 31.10.2019, решение отменено, с общества «ММС Рус» взыскано 476 991 рубль убытков. В кассационной жалобе общество «КОМОС-Север» просит о пересмотре судебных актов апелляционного и окружного судов в неудовлетворенной части иска, ссылаясь на нарушение обязательности решения суда общей юрисдикции, незаконное сложение ответственности с общества «Гарант-Моторс» за убытки вследствие осуществления привлеченным обществом «АвтоцентрГАЗ» некачественного ремонта автомобиля и неприменение договорной 2 ответственности общества «ММС Рус» за убытки, связанные с гарантийными обязательствами.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На основании решения суда общей юрисдикции общество «КОМОС-Север» привлечено к самостоятельной ответственности перед потребителем за продажу некачественного автомобиля. Понесенные в связи с исполнением решения суда убытки истец может переложить на лиц, ответственных за убытки в силу закона либо договора. С обществом «Гарант-Моторс» истец не связан договором и оно не осуществляло ремонта автомобиля, следовательно, вывод судов об отсутствии основания для возложения на это общество ответственности за качество ремонта, осуществленного другим лицом, соответствует статьям 15, 1064, 1080 Гражданского кодекса Российской Федерации. Правоотношения истца с обществом «ММС Рус» основаны на дилерском договоре от 01.08.2011 № РИ090. Исследовав и оценив содержание прав и обязанностей сторон по указанному договору, суды признали, что на имевший место случай реализации обществом «ММС Рус» автомобиля ненадлежащего качества с последующим возвратом автомобиля конечным покупателем дилеру распространяются последствия, предусмотренные пунктом 27.3 договора, в виде компенсации разницы в стоимости автомобиля, указанной в товарной накладной, и оценочной стоимостью автомобиля на момент возврата владельцем, установленной и взысканной судами. В силу пункта 27.1 договора, на применении которого настаивает истец, возмещению подлежат расходы, понесенные в связи с осуществлением дилером гарантийных обязательств, из которых исключены расходы, возникающие в связи с претензиями конечных покупателей и владельцев автомобилей. Таким образом, вывод судов о регулировании названными пунктами договора возмещения самостоятельных видов расходов и отсутствии условий для их одновременного применения в спорном случае передачи некачественного автомобиля соответствуют договору и статьям 15, 393 Гражданского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«КОМОС-Север»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