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Дзиов Георгий Игоревич обратился в Арбитражный суд города Москвы с иском о взыскании с открытого акционерного общества «Интач Страхование» 951 491 рубля 45 копеек упущенной выгоды. Решением Арбитражного суда города Москвы от 30.11.2018 в удовлетворении иска отказано. При рассмотрении апелляционной жалобы предпринимателя определением Девятого арбитражного апелляционного суда от 14.05.2019 произведена процессуальная замена ответчика – ОАО «Интач Страхование» на правопреемника – АО «Группа Ренессанс Страхование». Постановлением Девятого арбитражного апелляционного суда от 16.05.2019 решение суда первой инстанции оставлено без изменения. Определением Арбитражного суда Московского округа от 19.12.2019 кассационная жалоба индивидуального предпринимателя Дзиова Г.И. возвращена заявителю на основании пункта 2 части 1 статьи 281 Арбитражного процессуального кодекса Российской Федерации в связи с подачей жалобы по истечении срока на обжалование и отказом в восстановлении пропущенного срока ее подачи. 2 Арбитражный суд Московского округа определением от 06.02.2020 (с учетом определения об исправлении опечатки от 06.02.2020) определение окружного суда оставил без изменения. Индивидуальный предприниматель Дзиов Г.И. обратился в Судебную коллегию по экономическим спорам Верховного Суда Российской Федерации с кассационной жалобой на судебные акты окружного суда, ссылаясь на существенные нарушения судом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окружной суд руководствовался положениями статей 117, 273, 281, 291 Арбитражного процессуального кодекса Российской Федерации и исходил из того, что приведенные заявителем доводы не свидетельствуют о пропуске срока подачи кассационной жалобы по не зависящим от заявителя причинам, которые могли бы быть признаны уважительными.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Дзиову Георгию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