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«Российский Сельскохозяйственный банк» (далее – банк, залоговый кредитор) обратилось в суд с заявлением о разрешении разногласий, возникших между банком и конкурсным управляющим Павлюченко Татьяной Владимировной (далее – конкурсный управляющий), по распределению денежных средств, взысканных в пользу должника решением Арбитражного суда Сахалинской области от 25.12.2018 по делу № А59-453/2017. Определением Арбитражного суда Сахалинской области от 06.06.2019, оставленным без изменения постановлением Пятого арбитражного апелляционного суда от 26.08.2019, разногласия разрешены в пользу конкурсного управляющего с указанием на распределение денежных средств в сумме 44 466 179 рублей 72 копеек в соответствии со статьёй 134 Федерального закона от 26.10.2002 № 127-ФЗ «О несостоятельности (банкротстве)» (далее – Закон о банкротстве) без применения правил статьи 138 указанного Федерального закона. Постановлением Арбитражного суда Дальневосточного округа от 22.10.2019 судебные акты изменены. Разногласия разрешены в пользу залогового кредитора с указанием на распределение названной суммы денежных средств в соответствии с положениями статьи 138 Закона о банкротстве, с направлением 95% денежных средств банку, требования которого обеспечены залогом, 5% – на текущие расходы.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В судебном заседании представители заявителя просили не рассматривать ранее поданное ходатайство об отложении судебного заседания ввиду удовлетворения определением Верховного Суда Российской Федерации от 21.05.2020 ходатайства об участии в судебном заседании путём использования систем видеосвязи в режиме онлайн, поддержали доводы кассационной жалобы и возражения на отзыв банка. Представитель банка возражал против удовлетворения жалобы по основаниям, изложенным в представленном отзыве. Изучив материалы дела, заслушав представителей лиц, участвующих в обособленном споре, обсудив доводы, изложенные в кассационной жалобе, отзыве на неё и возражениях на отзыв, судебная коллегия приходит к следующим выводам. Как установлено судами и следует из материалов дела, 27.08.2014 между муниципальным казённым учреждением городского округа «Город Южно-Сахалинск» (заказчиком) и должником (подрядчиком) заключен муниципальный контракт № 032-144-144 на выполнение работ по строительству «под ключ» объекта: «Реконструкция и строительство распределительных сетей муниципальных образований» (строительство 3 подстанций 35 кВ и линий электропередачи в г. Южно-Сахалинске) (далее – муниципальный контракт) на сумму 801 370 210 рублей. 11.11.2014 в рамках и во исполнение подрядчиком своих обязательств по муниципальному контракту между должником и обществом (субподрядчиком) заключен договор субподряда № 208-14суб (далее – договор субподряда) с ориентировочной стоимостью работ в размере 657 123 400 рублей. 30.12.2014 между должником (заёмщиком) и банком подписан кредитный договор № 147200/0102, по которому должник получил от банка денежные средства в размере 196 000 000 рублей под 25 % процентов годовых со сроком возврата до 30.11.2015 на финансирование своих затрат по муниципальному контракту. Исполнение обязательств заёмщика перед банком обеспечено договором № 147200/0102-21.1 о последующем залоге имущественных прав (прав по контракту) от 30.12.2014 (далее – договор залога). По условиям данной обеспечительной сделки залог обеспечивает исполнение заёмщиком обязательства по возврату кредита, уплате процентов за пользование кредитом, уплате комиссий и неустоек (пеней и/или штрафов), возмещению расходов залогодержателя по обращению взыскания на заложенное имущество и его реализации (пункт 2.1. договора залога). По договору залога банку как залогодержателю были переданы следующие имущественные права (требования), которые возникли и возникнут у залогодателя (должника) по муниципальному контракту: права на получение оплаты (в том числе авансовые платежи) в размере 801 370 210 рублей за выполнение работ по реконструкции и строительству распределительных электрических сетей муниципальных образований (строительство подстанций 35 кВ и линий электропередачи в г. Южно-Сахалинске), на получение неустойки за просрочку оплаты, на получение компенсации расходов на оплату услуг охраны строительной площадки, иных платежей, которые могут возникнуть у залогодателя по муниципальному контракту (пункт 3.1. договора залога). Определением Арбитражного суда Сахалинской области от 29.06.2015 по настоящему делу в отношении должника введена процедура наблюдения, а решением суда от 18.05.2017 должник признан несостоятельным (банкротом), в отношении него открыто конкурсное производство, конкурсным управляющим утверждена Павлюченко Т.В. Определением Арбитражного суда Сахалинской области от 14.10.2015 по настоящему делу признаны обоснованными и включены в реестр требований кредиторов должника требования банка в размере 206 718 050 рублей 21 копейки, из которых: 196 000 000 рублей – основной долг, 10 588 416 рублей 35 копеек – проценты за пользование кредитом, 129 633 рубля 86 копеек – пени. Указанные требования банка включены в реестр как обеспеченные залогом имущественных прав по муниципальному контракту. На основании вступивших в законную силу решений Арбитражного суда Самарской области от 17.08.2016 по делу № А55-6049/2016, от 27.03.2018 по делу № А55-23619/2016, а также Арбитражного суда Сахалинской области от 4 25.12.2018 по делу № А59-453/2017 (встречный иск) общество является кредитором должника по текущим платежам на сумму более 100 миллионов рублей. Решением Арбитражного суда Сахалинской области от 25.12.2018 по делу № А59-453/2017 удовлетворён иск должника о взыскании с субподрядчика 44 466 179 рублей 72 копеек неотработанного аванса по договору субподряда, в связи с чем между залоговым кредитором и конкурсным управляющим возникли разногласия о порядке распределения денежных средств, поступивших в конкурсную массу должника. Разрешая разногласия в пользу конкурсного управляющего, суды первой и апелляционной инстанций руководствовались статьями 336, 339, 358.1, 358.3 Гражданского кодекса Российской Федерации и пришли к выводу о не распространении режима залога в пользу банка на требования к субподрядчику, поскольку предметом договора залога являются имущественные права должника-залогодателя на получение от муниципального заказчика платежей в связи с исполнением своих обязательств подрядчика по муниципальному контракту, а имущественные права подрядчика по договору субподряда не являются предметом договора залога. Суд округа признал данные выводы ошибочными, поскольку из условий договора субподряда следует, что он заключен в рамках и во исполнение обязательств по муниципальному контракту. То есть право требования с контрагента – субподрядчика (имущественное право) возникло у подрядчика именно в связи с заключением муниципального контракта, имущественные права по которому находятся в залоге у банка. Между тем судом округа не учтено следующее. В соответствии с положениями пункта 1 статьи 358.3 Гражданского кодекса Российской Федерации, существенным условием договора залога права (наряду с предусмотренными статьёй 339 Гражданского кодекса Российской Федерации) является указание на обязательство, из которого вытекает закладываемое право, сведения о должнике залогодателя и сторона договора залога, у которой находятся подлинники документов, удостоверяющих закладываемое право. Исходя из положений пункта 2 статьи 339 и пункта 2 статьи 358.3 Гражданского кодекса Российской Федерации предмет залога, в том числе и сведения об обязательстве, из которого вытекает закладываемое право, могут быть описаны любым общим способом с использованием данных, позволяющих идентифицировать предмета залога на момент обращения взыскания, индивидуализировать закладываемые права и определить лиц, которые являются или на момент обращения взыскания на предмет залога будут являться должниками по этим правам. Само по себе заключение договора субподряда в целях исполнения обязательств подрядчика по муниципальному контракту, имущественные права по которому заложены банку, не влечёт автоматическое включение прав из договора субподряда в предмет залоговых обязательств по договору о залоге. 5 Таким образом, вывод суда округа о распространении режима залога в пользу банка на поступившие должнику денежные средства является несостоятельным. Учитывая изложенное, выводы судов первой и апелляционной инстанций о нераспространении режима залога в пользу банка по требованиям к субподрядчику и распределении поступивших денежных средств в порядке статьи 134 Закона о банкротстве являются правомерными, а у суда округа отсутствовали основания для отмены указанных судебных актов. В связи с чем постановление суда округа следует отменить на основании части 1 статьи 291.11 Арбитражного процессуального кодекса Российской Федерации, определение суда первой инстанции и постановление апелляционного суда - оставить в силе. Руководствуясь статьями 291.11, 291.13 - 291.15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Дальневосточного округа от 22.10.2019 по делу № А59-2230/2015 отменить. Определение Арбитражного суда Сахалинской области от 06.06.2019 и постановление Пятого арбитражного апелляционного суда от 26.08.2019 по указанному делу оставить в силе.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Е.С. Корнелюк Судья И.А. Букина Судья И.В. Разумов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