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«Ремонтно-механический завод «Сплав» обратилось в Арбитражный суд Иркутской области с иском о взыскании с индивидуального предпринимателя ФИО1 300 000 рублей основного долга по оплате поставленного товара и 10 000 рублей расходов на оплату услуг представителя. Решением Арбитражного суда Иркутской области от 18.07.2019 иск удовлетворен в части взыскания 265 000 рублей долга и 8 833 рублей расходов на оплату услуг представителя. Постановлением Четвертого арбитражного апелляционного суда от 19.11.2019 решение суда первой инстанции оставлено без изменения. Арбитражный суд Восточно-Сибирского округа постановлением от 05.03.2020 указанные судебные акты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поставки товара и его частичную оплату, руководствуясь положениями статей 309 , 310 , 434 , 506 , 516 Гражданского кодекса Российской Федерации, суды пришли к выводу о наличии оснований для частичного удовлетворения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"Ремонтно-Механический завод "Сплав"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