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02.09.2019, оставленным без изменения постановлением Восьмого арбитражного апелляционного суда от 28.11.2019 и постановлением Арбитражного суда Западно-Сибирского округа от 03.03.2020, заявленные требования удовлетворены. В кассационной жалобе, поданной в Верховный Суд Российской Федерации, антимонопольный орган,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организация признана победителем проведенных казенным учреждением Омской области «Центр учета и содержания собственности Омской области» (далее – заказчик, учреждение) электронных аукционов на оказание услуг по обучению специалиста заказчика на курсах повышения квалификации по программам «Охрана труда для руководителей и специалистов организации» (извещение № 0352200019919000050) и «Пожарно-технический минимум для руководителей и ответственных за пожарную безопасность в учреждениях» (извещение № 0352200019919000051). В связи с неразмещением в установленные сроки организацией в единой информационной системе подписанных проектов контракта и документов, подтверждающих обеспечение исполнения контракта, учреждение признало организацию уклонившейся от заключения контрактов и направило сведения об организации в антимонопольный орган для включения в реестр недобросовестных поставщиков (подрядчиков, исполнителей). Решениями управления сведения об организации, ее директоре и участниках включены в реестр недобросовестных поставщиков (подрядчиков, исполнителей) сроком на два года. Считая ненормативные акты антимонопольного органа законными, организация обратилась с заявлением в арбитражный суд. Оценив представленные в материалы дела доказательства, суды установили, что заявитель осуществляет деятельность с 28.09.2016, является социально ориентированной некоммерческой организацией, осуществляющей образовательную деятельность, внесен в реестр аккредитованных организаций, оказывающих услуги в области охраны труда, принял участие в 31 тендере и с марта 2018 года по январь 2019 года заключил контракты на общую сумму более 450 000 рублей. Факт нарушения организацией при заключении контрактов с учреждением требований части 6 статьи 37, статьи 83.2, частей 5 и 6 статьи 96 Федерального закона от 05.05.2013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подтверждается материалами дела и заявителем не оспаривается. Вместе с тем, невыполнение соответствующих обязанностей обусловлено технической неисправностью интернет-шлюза в аффилированной с заявителем организации, которой было поручено подписание контрактов, что свидетельствует об отсутствии умысла на уклонение от подписания контрактов со стороны заявителя. Также об отсутствии умысла косвенно свидетельствуют суммы контрактов, по которым констатировано уклонение (4 089 рублей 99 копеек по каждому контракту с необходимостью представления заявителем обеспечения в размере 306 рублей 50 копеек и 218 рублей 75 копеек соответственно). Кроме того, судами установлены обстоятельства социально ориентированного характера деятельности заявителя, наличия большого количества наемных работников у заявителя и организаций, участники которых включены в реестр недобросовестных поставщиков, а также отсутствие ранее нарушений законодательства о контрактной системе. Учитывая установленные обстоятельства, руководствуясь положениями статей 37, 96,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правовой позицией, изложенной в постановлениях Конституционного Суда Российской Федерации от 12.05.1998 № 14-П, от 15.07.1999 № 11-П, от 30.07.2001 № 13-П, от 21.11.2002 № 15-П, от 24.06.2009 № 11-П и пункте 41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судебные инстанции пришли к выводу о том, что такая мера правового воздействия как включение в реестр недобросовестных поставщиков сведений об организации, ее директоре и участниках сроком на два года несоразмерна характеру совершенного заявителем противоправного деяния. Вопреки доводу управления, представление заявителем в суд документов, которые не были представлены в антимонопольный орган, обусловлено статьей 65 Арбитражного процессуального кодекса Российской Федерации, возлагающей на заявителя необходимость документального обоснования заявленных требований и доводов, в том числе доказывания фактов в опровержение позиции уполномоченного органа. Иные доводы, изложенные в кассационной жалобе, являлись предметом рассмотрения судов, получили надлежащую правовую оценку и с учетом установленных обстоятельств дела не подтверждают существенных нарушений норм материального и процессуального права, повлиявших на исход дела. Несогласие антимонопольного органа с выводами судов и иная оценка фактических обстоятельств дела не означают допущенной при рассмотрении дела судебной ошибки и не могут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АНО ДОПОЛНИТЕЛЬНОГО ПРОФЕССИОНАЛЬНОГО ОБРАЗОВАНИЯ "АКАДЕМИЯ ОБРАЗОВАНИЯ "АТОН" (подробнее) Ответчики: Управление Федеральной антимонопольной службы по Омской области (подробнее) Иные лица: Арбитражный судЗападно-Сибирского округа (подробнее) Дзержинский районный суд города Новосибирска (подробнее) ООО "Атон-экобезопасность и охрана труда" (подробнее) Центральный районный суд города Новосибирска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