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Страховая компания «Согласие» обратилось в Арбитражный суд города Москвы с иском о взыскании с акционерного общества «Вестинтертранс» 14 370 703 рублей 60 копеек ущерба в порядке суброгации.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«Инстар Лоджистикс», закрытое акционерное общество «РУС-АВТО», общество с ограниченной ответственностью «Медисорб». Решением Арбитражного суда города Москвы от 30.09.2019 иск удовлетворен. Постановлением Девятого арбитражного апелляционного суда от 06.12.2019 решение суда первой инстанции оставлено без изменения. Арбитражный суд Московского округа постановлением от 05.03.2020 указанные судебные акты оставил без изменения. Акционерное общество «Вестинтертранс»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доказанными факт причинения ущерба по вине перевозчика – АО «Вестинтертранс», размер ущерба, выплату страхового возмещения в связи с наступлением страхового случая, учитывая условия договора перевозки об ответственности сторон за неисполнение или ненадлежащее исполнение обязательств, руководствуясь положениями статей 15 , 393 , 785 , 801 , 803 , 805 , 965 Гражданского кодекса Российской Федерации, статьей 7 Федерального закона от 30.06.2003 № 87-ФЗ «О транспортно-экспедиционной деятельности», пунктом 27 постановления Пленума Верховного Суда Российской Федерации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Конвенцией о договоре международной дорожной перевозки грузов, суды пришли к выводу о наличии оснований у страховщика, выплатившего страховое возмещение, требовать выплаты суммы ущерба в порядке суброгации от перевозчика, осуществлявшего перевозку груза.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«Вестинтертранс»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ЗАО "Рус-Авто" (подробнее) ООО "Страховая компания "Согласие" (подробнее) Ответчики: АО "ВЕСТИНТЕРТРАНС"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