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«Волна Полимер» обратилось в Арбитражный суд города Санкт-Петербурга и Ленинградской области с иском о взыскании с общества с ограниченной ответственностью «Автофлот» 1 159 500 рублей в возмещение ущерба в связи с утратой груза. Решением Арбитражного суда города Санкт-Петербурга и Ленинградской области от 29.05.2019 иск удовлетворен. Постановлением Тринадцатого арбитражного апелляционного суда от 18.09.2019 решение суда первой инстанции оставлено без изменения. Арбитражный суд Северо-Западного округа постановлением от 28.01.2020 указанные судебные акты оставил без изменения. Общество с ограниченной ответственностью «Автофлот»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привлекший третье лицо к исполнению своего обязательства по перевозке груза, принял на себя ответственность перевозчика по спорной заявке, признав доказанными факты принятия груза к перевозке и его утраты, отсутствие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руководствуясь положениями статей 15 , 393 , 785 , 796 , 801 , 803 , 805 , Гражданского кодекса Российской Федерации, суды признали иск обоснованным.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«Автофлот»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"ВОЛНА ПОЛИМЕР" (подробнее) Ответчики: ООО "АВТОФЛОТ"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