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04.07.2019, оставленным без изменения постановлением Первого арбитражного апелляционного суда от 10.10.2019, требования удовлетворены. Постановлением Арбитражного суда Волго-Вятского округа от 05.02.2020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обстоятельств в жалобе не приведено.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расторгли муниципальный контракт, признав, что общество (исполнитель) допустило существенное нарушение его условий. Изложенные в жалобе доводы приводились при рассмотрении дела, получили надлежащую правовую оценку судов, в том числе, исходя из момента окончания срока действия контракта, и допущенных нарушений, и отклонены по мотивам, подробно изложенным в соответствующих судебных актах.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Администрация городского округа Сокольский Нижегородской области (подробнее) Ответчики: ООО "Шалаевский и партнеры"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