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города Москвы с иском о взыскании с общества с ограниченной ответственностью «Хеллманн» 368 000 рублей задолженности за услуги по перевозке груза. Решением Арбитражного суда города Москвы от 13.09.2019 в удовлетворении иска отказано. Постановлением Девятого арбитражного апелляционного суда от 09.10.2019 решение суда первой инстанции оставлено без изменения. Арбитражный суд Московского округа постановлением от 05.02.2020 указанные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421 , 424 , 785 , 792 , 805 Гражданского кодекса Российской Федерации, суды пришли к выводу о недоказанности наличия между сторонами правоотношений по перевозке груза.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"Хеллманн Восточная Европа"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