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 в размере 2 996 893 рублей. Определением Арбитражного суда Волгоградской области от 15.04.2019, оставленным без изменения постановлениями Двенадцатого арбитражного апелляционного суда от 31.10.2019 и Арбитражного суда Поволжского округа от 30.01.2020,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1 статьи 165.1 Гражданского кодекса Российской Федерации, статьями 61.10, 61.11,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пришли к выводу о наличии совокупности условий, необходимых для привлечения заявителя как бывшего руководителя должника к субсидиарной ответственности ввиду неисполнения без уважительных причин обязанности по передаче конкурсному управляющему документации и имущества должника, что привело к невозможности формирования конкурсной массы и проведению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о ненадлежащем извещении заявителя о рассмотрении спора, наряду с иными доводами,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г. Волжскому Волгоградской области (подробнее) ООО "Промтехоснащение" (подробнее) ПРАВОВАЯ ГАРАНТИЯ ВОЛГОГРАДСКАЯ ОБЛАСТЬ (подробнее) Ответчики: ООО ПРОМЫШЛЕННАЯ ТОРГОВАЯ КОМПАНИЯ "ЕМКОСТИ СПЕЦИАЛЬНОГО НАЗНАЧЕНИЯ" (подробнее) Иные лица: АССОЦИАЦИЯ "САМОРЕГУЛИРУЕМАЯ ОРГАНИЗАЦИЯ АРБИТРАЖНЫХ УПРАВЛЯЮЩИХ "ЛИГА" (подробнее) ООО "Аспект"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