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12.07.2019, оставленным без изменения постановлением Девятого арбитражного апелляционного суда от 04.10.2019, в иске отказано. Постановлением Арбитражного суда Московского округа от 28.01.2020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признав государственный контракт расторгнутым, фактически понесенные затраты оплаченными. Изложенные в жалобах доводы о возникновении у Минобороны России как заказчика неосновательного обогащения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"КОРПОРАЦИЯ "СТРАТЕГИЧЕСКИЕ ПУНКТЫ УПРАВЛЕНИЯ" (подробнее) Ответчики: Министерство обороны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