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19.09.2019, оставленным без изменения постановлением Восьмого арбитражного апелляционного суда от 15.11.2019, заявленное требование удовлетворено. Постановлением Арбитражного суда Западно-Сибирского округа от 05.03.2020 указанные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исследования судами как обстоятельств для привлечения общества к административной ответственности, так и оснований для восстановления срока на обращение арбитражный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"Паритет" (подробнее) Ответчики: Управление федеральной службы государственной регистрации, кадастра и картографии по Омской области в лице заместителя главного государственного инспектора Омской области по использованию и охране земель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