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14.08.2019, оставленным без изменения постановлением Восемнадцатого арбитражного апелляционного суда от 15.10.2019, в удовлетворении заявленных требований отказано. Постановлением Арбитражного суда Уральского округа от 31.01.2020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Исходя из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продаже алкогольной и спиртосодержащей продукции в запрещенное законодательством время. Оценив представленные доказательства и установив факт нарушения обществом особых требований и правил розничной продажи алкогольной и спиртосодержащей продукции, установленных пунктом 9 статьи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совершение которого установлена частью 3 статьи 14.16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Штраф назначен в минимальном размере санкции нормы. Оснований для признания совершенного правонарушения малозначительным и освобождения лица от административной ответственности судами не установлено. Доводы жалобы о том, что спорная продукция не была предложена к продаже, свидетельствуют о несогласии с установленными судами обстоятельствами, а также оценкой имеющихся в материалах дела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"Люкс" (подробнее) Ответчики: Государственный комитет Республики Башкортостан по торговле и защите прав потребителей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