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27.08.2019 исковые требования удовлетворены. Общество обратилось в Тринадцатый арбитражный апелляционный суд с апелляционной жалобой на указанное решение суда, заявив ходатайство о восстановлении пропущенного процессуального срока.Тринадцатый арбитражный апелляционный суд определением от 17.12.2019 возвратил апелляционную жалобу общества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восстановлении.Постановлением Арбитражного суда Северо-Западного округа от 16.03.2020 определение апелляционного суда оставлено без изменения.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апелляционную жалобу, суд апелляционной инстанции руководствовался статьями 9 , 117 , 259 , 264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25.12.2013 № 99 «О процессуальных сроках», и исходил из того, что приведенные заявителем причины пропуска срока не являются уважительными. С указанными выводами впоследствии согласился суд округа, мотивированно отклонив доводы заявителя. Доводы кассационной жалобы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«Практика Реставрации»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"Меандр" (подробнее) Ответчики: ООО "Практика Реставрации"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