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Веселова Марина Васильевна (участник долевого строительства) обратилась в суд с заявлением о включении в реестр требований кредиторов должника требования в размере 3 831 500 рублей как обеспеченного залогом имущества должника. Определением Арбитражного суда Тверской области от 26.12.2018 признано обоснованным и включено в третью очередь реестра требование Веселовой М.В. в размере 2 817 500 рублей основного долга как обеспеченное залогом, выделено в отдельное производство заявление о включении в реестр требования в размере 1 014 000 рублей основного долга. Определением Арбитражного суда Тверской области от 22.08.2019, оставленным без изменения постановлениями Четырнадцатого арбитражного апелляционного суда от 21.10.2019 и Арбитражного суда Северо-Западного округа от 29.01.2020, признано обоснованным и включено в третью очередь реестра требование Веселовой М.В. в размере 1 014 000 рублей основного долга как обеспеченное залогом.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результатах судебный технической и почерковедческой экспертиз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установив реальность возникших между сторонами отношений, исполнение участником строительства обязательств по уплате денежных средств, наличие и размер неисполненных должником обязательств, признали требование обоснованным, указав на отсутствие оснований для прекращения залоговых прав.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Крючковой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