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19.07.2019, оставленным без изменений постановлением Одиннадцатого арбитражного апелляционного суда от 02.10.2019, в удовлетворении требования отказано. Постановлением Арбитражного суда Поволжского округа от 28.01.2020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ее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административный орган выявил, что при реконструкции объекта капитального строительства обществом при производстве работ по возведению железобетонного каркаса (фундаментов, подколонников, колонн, ригелей, перекрытий, монолитных диафрагм жесткости) технического подполья, 1-го этажа здания вивария допущены нарушения обязательных требований технических регламентов (норм и правил), проектной документации. Частью 1 статьи 9.4 Кодекса Российской Федерации об административных правонарушениях предусмотрена ответственность за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Оценив представленные доказательства, руководствуясь положениями Градостроительного кодекса Российской Федерации, суды пришли к выводу о наличии в действиях общества состава административного правонарушения, ответственность за которое предусмотрена частью 1 статьи 9.4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надлежащего исполнения возложенных на него градостроительным законодательством обязанностей. Судами проверены процедура и срок давности привлечения к административной ответственности, наказание в виде штрафа назначено в пределах санкции нормы. Вопреки доводам жалобы, по данной категории дел необходимо учитывать закрепленное в статье 29.5 Кодекса Российской Федерации об административных правонарушениях правило о месте совершения правонарушения в целях определения территориальной подсудности дел об административных правонарушениях, а не в целях рассмотрения дела по месту конкретного выявления правонарушения. В жалобе общество не отрицает, что дело рассмотрено административным органом с соблюдением его компетенции.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Специализированный застройщик "СК "Система" (подробнее) Ответчики: Средне-поволжское управление Федеральной службы по экологическому, технологическому и атомному надзору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