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26.06.2019, оставленным без изменения постановлением Третьего арбитражного апелляционного суда от 07.10.2019, в удовлетворении заявленного требования отказано. Постановлением Арбитражного суда Восточно-Сибирского округа от 29.01.2020 указанные судебные акты оставлены без изменения. В кассационной жалобе общество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установленного порядка представления подтверждающих документов и информации при осуществлении валютных операций. Частью 6 статьи 15.25 Кодекса Российской Федерации об административных правонарушениях предусмотрена ответственность за несоблюдение установленных порядка представления форм учета и отчетности по валютным операциям, порядка представления отчетов о движении средств по счетам (вкладам) в банках за пределами территории Российской Федерации с подтверждающими банковскими документами,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Инструкции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 уполномоченными банками валютных операций и контроля за их проведением» (действующей в спорный период),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 (введенной в действие с 01.03.2018), суды пришли к выводу о наличии в действиях общества состава правонарушения, ответственность за совершение которого предусмотрена частью 6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штраф назначен в минимальном размере санкции нормы.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"ЛОГИСТИКА АВИАЦИОННЫХ КОМПОНЕНТОВ" (подробнее) Ответчики: Инспекция Федеральной налоговой службы по Советскому району г. Красноярска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