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10.05.2017 первоначальный иск удовлетворен; во встречном иске отказано. Распределены судебные расходы. В ходе рассмотрения дела в апелляционной инстанции общество заявило ходатайство о назначении по делу строительно-технической судебной экспертизы. Определением апелляционного суда от 18.05.2018, оставленным без изменения постановлением суда округа от 23.08.2018, производство по делу приостановлено в связи с назначением строительно-технической экспертизы. В кассационной жалобе заявитель ссылается на неправильное применение судами апелляционной и кассационной инстанций норм права при назначении экспертизы. Согласно пункту 1 части 7 статьи 291.6 Арбитражного процессуального кодекса Российской Федерации (далее –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изложенные в жалобе доводы и принятые по делу судебные акты, судья Верховного Суда Российской Федерации сделал вывод об отсутствии оснований, предусмотренных пунктом 1 части 7 статьи 291.6 АПК РФ 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Установив необходимость применения специальных знаний для разъяснения возникших при рассмотрении дела вопросов, руководствуясь статьями 82 , 144 АПК РФ , пунктом 7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экспертизе», суд апелляционной инстанции пришел к выводу о наличии оснований для назначения по делу экспертизы, приостановив производство по делу. Суд округа поддержал выводы апелляционного суда, указав, что арбитражный суд в случае назначения экспертизы вправе приостановить производство по делу, исходя из невозможности его дальнейшего рассмотрения без получения результатов экспертизы; необходимость в назначении экспертизы обусловлена возникновением у суда апелляционной инстанции вопросов, требующих специальных знаний; порядок назначения экспертизы апелляционным судом соблюден. Доводы жалобы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Исходя из изложенного,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Р.А. Хатыпова Суд: Верховный Суд РФ (подробнее) Истцы: Комитет по строительству (подробнее) Ответчики: ООО "СК ЦФО ЛУБЯНКА" (подробнее) Иные лица: ООО "Авторское бюро экспертиз" (подробнее) ООО "Корпорация В" (подробнее) ООО "Центр оценки и консалтинга Санкт-Петербурга" (подробнее) ООО "Экспертный центр Северо-Запада" (подробнее) Судьи дела: Хатыпова Р.А. (судья) (подробнее) Последние документы по делу: Определение от 26 мая 2020 г. по делу № А56-28085/2016 Определение от 13 августа 2019 г. по делу № А56-28085/2016 Определение от 15 ноября 2018 г. по делу № А56-28085/2016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