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19.07.2019 в удовлетворении требований отказано. Постановлением Четырнадцатого арбитражного апелляционного суда от 26.11.2019 решение суда первой инстанции отменено в части отказа в признании недействительным решения налогового органа в части доначисления 295 351 рублей налога на прибыль организаций, 1 571 рублей налога, уплачиваемого в связи с применением упрощенной системы налогообложения, соответствующих пеней и штрафов, в указанной части оспариваемое решение признано недействительным, в остальной части решение суда первой инстанции оставлено без изменения. Постановлением Арбитражного суда Северо-Западного округа от 27.02.2020 постановление суда апелляционной инстанции оставлено без изменения. В кассационной жалобе, поступившей в Верховный Суд Российской Федерации, общество просит отменить принятые по делу судебные акты в части отказа в удовлетворении требований,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247 , 248 , 249 , 251 , 346.11 , 346.12 , 346.13 , 346.15 , 346.18 Налогового кодекса Российской Федерации, статей 155 , 162 Жилищного кодекса Российской Федерации, суды отказали в удовлетворении заявленных требований, признав, что общество являлось исполнителем коммунальных услуг, полученные обществом средства являются доходом от реализации коммунальных услуг собственникам жилья, учитываемым при определении налоговой базы.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"Ремонт.Отделка.Стройка" (подробнее) Ответчики: Межрайонная ИФНС России №2 по Новгородской области (подробнее) Судьи дела: Першутов А.Г.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