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22.07.2019, оставленным без изменения постановлением Семнадцатого арбитражного апелляционного суда от 22.10.2019 и постановлением Арбитражного суда Уральского округа от 17.02.2020, исковое требование удовлетворено.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 и в удовлетворении иска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исковое требование мотивировано неразрешением в приговоре суда по уголовному делу вопроса о расходах предпринимателя по хранению вещественного доказательства (автомобиля), помещенного на принадлежащую ему специализированную стоянку. Расчет иска произведен за период с 05.06.2018 по 16.10.2018 с использованием тарифов, предусмотренных постановлением Региональной службы по тарифам Пермского края от 29.11.2017 № 10; стоимость услуг составила 81 070 рублей 27 копеек. Оценив представленные в материалы дела доказательства, суды, руководствуясь положениями статей 131, 316 Уголовно-процессуального кодекса Российской Федерации, статьи 2 Федерального закона от 07.06.2013 № 122-ФЗ «О внесении изменений в статью 131 Уголовно-процессуального кодекса Российской Федерации», пунктом 24 постановления Правительства Российской Федерации от 01.12.2012 № 1240 «О порядке и размере возмещения процессуальных издержек, связанных с производством по уголовному делу, издержек в связи с рассмотрением гражданского дела, административного дела,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Федерации», разъяснениями, изложенными в постановлении Пленума Верховного Суда Российской Федерации от 19.12.2013 № 42 «О практике применения судами законодательства о процессуальных издержках по уголовным делам», пришли к выводу о том, что процессуальные издержки в виде расходов на хранение транспортного средства, признанного вещественным доказательством в рамках уголовного дела, подлежат возмещению предпринимателю в заявленном размере. Судами принято во внимание, что несение спорных расходов обусловлено действиями управления внутренних дел, должностное лицо которого приняло решение о помещении транспортного средства на хранение, а также вынесло постановление о выдаче указанного имущества после вынесения приговора по уголовному делу. При этом передача автомобиля на хранение предпринимателю, факт его хранения, выдача с хранения и вынесение постановления об оплате связанных с хранением услуг, подтверждаются материалами дела. Доводы, изложенные в кассационной жалобе, в том числе об отнесении спора к компетенции суда общей юрисдикции, являлись предметом рассмотрения судов и получили надлежащую правовую оценку с учетом установленных обстоятельств дела. Приведенные доводы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Главное управление Министерства внутренних дел Российской Федерации по Пермскому краю (подробнее) Министерство внутренних дел Российской Федерации (подробнее) Иные лица: Управление Федерального казначейства по Пермскому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