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12.07.2019, оставленным без изменения постановлением Одиннадцатого арбитражного апелляционного суда от 24.09.2019, в удовлетворении заявленных требований отказано. Постановлением Арбитражного суда Поволжского округа от 28.01.2020 указанные судебные акты оставлены без изменения. В кассационной жалобе, поступившей в Верховный Суд Российской Федерации, предприятие просит отменить принятые по делу судебные акты, считая их незаконными и необоснованными,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Признавая обоснованными выводы налогового органа, суды руководствовались положениями статей 169 , 171 , 172 Налогового кодекса Российской Федерации, а также правовой позицией, изложенной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выгоды». При этом суды исходили из отсутствия реальных хозяйственных операций с контрагентами, формального документооборота, посредством которого предприятием создана схема получения необоснованной налоговой выгоды. Приведенные в жалобе доводы были предметом исследования судов и получили исчерпывающую правовую оценку применительно к установленным обстоятельствам,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Государственное казенное предприятие Самарской области "Агентство по содержанию автомобильных дорог общего пользования Самарской области" (подробнее) Ответчики: Управление Федеральной налоговой службы России по Самарской области (подробнее) ФНС России Инспекция по Железнодорожному району г. Самары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