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04.06.2019, оставленным без изменения постановлением Девятого арбитражного апелляционного суда от 24.10.2019, в удовлетворении заявленных требований отказано. Постановлением Арбитражного суда Московского округа от 10.02.2020 указанные судебные акты оставлены без изменения. В кассационной жалобе, поступившей в Верховный Суд Российской Федерации, общество просит отменить принятые по делу судебные акты в части отказа в удовлетворении требований о признании недействительным решения налогового органа о доначислении налога на прибыль в размере 17 504 795 рублей, соответствующих сумм пени и штрафа по эпизоду взаимоотношений с ООО «Зерноопт», считая их незаконными и необоснованными в указанной части.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Признавая обоснованными выводы налогового органа в обжалуемой части, суды руководствовались положениями статей 169 , 171 , 172 , 247 , 252 Налогового кодекса Российской Федерации, а также правовой позицией, изложенной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 и исходили из отсутствия реальных хозяйственных операций с указанным контрагентом, формального документооборота, посредством которого обществом создана схема получения необоснованной налоговой выгоды, выразившейся в завышении налоговых вычетов по налогу на добавленную стоимость и расходов по налогу на прибыль посредством умышленного включения в цепочку хозяйственных связей спорного контрагента. Приведенные в жалобе доводы были предметом исследования судов и получили исчерпывающую правовую оценку применительно к установленным обстоятельствам, не согласиться с которой оснований не имеется. При этом суд округа установил надлежащее процессуальное оформление замены судьи в суде апелляционной инстанции и отсутствие безусловных оснований для отмены судебных актов. Указанные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"БалтКо" (подробнее) Ответчики: ИФНС №21 по г. Москве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