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«Управление жилищного хозяйства» (далее – Общество) обратилось в Арбитражный суд Московской области с иском к обществу с ограниченной ответственностью «Специализированный застройщик «ЮАССтрой» (далее – Компания) о взыскании 3 219 108 рублей 87 копеек задолженности. Решением Арбитражного суда Московской области от 13.06.2019, оставленным без изменения постановлением Десятого арбитражного апелляционного суда от 23.09.2019 и постановлением Арбитражного суда Московского округа от 22.01.2020, иск удовлетворен.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В обоснование доводов жалобы заявитель указывает на ошибочность расчета истца относительно размера взыскиваемой задолженности с учетом зарегистрированных прав собственности на объекты недвижимости.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являясь правопреемником муниципального унитарного предприятия «Управление жилищного хозяйства», на основании договора № 1, заключенного по результатам открытого конкурса по отбору управляющей организации, осуществляет деятельность по управлению многоквартирным домом № 39Б, расположенным по адресу: &lt;...&gt; (далее – МКД). В свою очередь Компания является застройщиком МКД (разрешение на ввод объекта в эксплуатацию от 24.07.2014 № RU50511105-676 выдано администрацией городского поселения Одинцово). В МКД имеется подземная автостоянка, состоящая из двух нежилых помещений с кадастровыми номерами 50:20:0030106:3435; 50:20:0030106:3418. В обоснование требований истец указал, что ответчик является собственником части машиномест. Между тем, Компания в нарушение жилищного законодательства не исполнила свои обязательства по оплате за содержание имущества. При начислении ответчику платы за содержание управляющая организация руководствовалась данными из Единого государственного реестра прав на недвижимое имущество о регистрации прав собственности на доли в нежилых помещениях за третьими лицами. Исследовав и оценив по правилам статьи 71 АПК РФ представленные доказательства, руководствуясь статьями 210 , 249 , 438 Гражданского кодекса Российской Федерации, статьями 153 , 154 , 155 , 156 , 158 , 162 Жилищного кодекса Российской Федерациями,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суды удовлетворили заявленные требования, взыскали долг за обслуживание нежилых помещений, принадлежащих непосредственно Компании, которая как собственник должна возместить Обществу понесенные расходы.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«ЮАССтрой»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"Управление жилищного хозяйства" (подробнее) Ответчики: ООО "Специализированный застройщик "ЮАССтрой"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