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19.04.2019, оставленным без изменения постановлением Семнадцатого арбитражного апелляционного суда от 02.09.2019 и постановлением Арбитражного суда Уральского округа от 24.01.2020, в удовлетворении первоначального и встречного исков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Суды первой и апелляционной инстанций,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15 , 309 , 310 , 393 , 606 , 610 , 621 , 622 , 1102 Гражданского кодекса Российской Федерации, пришли к выводу об отсутствии оснований для удовлетворения первоначального и встречного исков, исходя из недоказанности предпринимателями совокупности условий, необходимых для взыскания с общества убытков, а последним – наличия на стороне предпринимателей неосновательного обогащения. Суд округа, проверив правильность применения судами первой и апелляционной инстанций норм материального и процессуального права в части отказа в удовлетворении первоначального иска, поддержал этот вывод судов. При этом в части отказа в удовлетворении встречного иска решение суда первой инстанции и постановление суда апелляционной инстанции в установленном порядке сторонами не обжаловалось и не было предметом проверки суда округа. Вместе с тем согласно части 1 статьи 291.1 Арбитражного процессуального кодекса Российской Федерации судебные акты судов первой и апелляционной инстанций могут быть обжалованы в Судебную коллегию Верховного Суда Российской Федерации в порядке кассационного производства только в случае, если они обжаловались в арбитражном суде кассационной инстанции, образованном в соответствии с Федеральным конституционным законом от 28.04.1995 № 1-ФКЗ «Об арбитражных судах в Российской Федерации». Поскольку решение суда первой инстанции и постановление суда апелляционной инстанции в части отказа в удовлетворении встречного иска не были предметом рассмотрения в суде округа, производство по кассационной жалобе на указанные судебные акты в названной части подлежит прекращению применительно к пункту 1 части 1 статьи 150 Арбитражного процессуального кодекса Российской Федерации. Довод жалобы о несоблюдении предпринимателями досудебного порядка урегулирования спора в отношении некоторых предъявленных требований подлежит отклонению, поскольку из содержащихся в обжалуемых судебных актах позиций сторон (включая заявителя) не усматривается такого намерения. Учитывая, что иных доводов в отношении первоначального иска заявителем не приведено, оснований для передачи кассационной жалобы на рассмотрение в судебном заседании не имеется.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общества с ограниченной ответственностью «Автоматизация» на решение Арбитражного суда Свердловской области от 19.04.2019 и постановление Семнадцатого арбитражного апелляционного суда от 02.09.2019 по делу № А60-60838/2018 в части отказа в удовлетворении встречного иска прекратить.В остальной части 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ООО "Автоматизация" (подробнее) Судьи дела: Чучунова Н.С.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