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29.01.2018 исковые требования удовлетворены. Общество в порядке пункта 24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обратилось в Девятый арбитражный апелляционный суд с апелляционной жалобой на решение суда первой инстанции. Определением Девятого арбитражного апелляционного суда от 23.10.2019 апелляционная жалоба общества оставлена без удовлетворения. Постановлением Арбитражного суда Московского округа от 28.02.2020 указанные судебные акты оставлены без изменения. 2 В кассационной жалобе, поданной в Верховный Суд Российской Федерации, заявитель просит отменить обжалуемые судебные акты, ссылаясь на нарушение судами норм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спора, суд первой инстанции руководствовался статьями 309, 310, 395, 421, 708, 711, 720, 721, 753 Гражданского кодекса Российской Федерации и исходил из доказанности факта ненадлежащего исполнения ответчиком обязательств по оплате работ, выполненных истцом в рамках спорного договора. Оценив доводы апелляционной и кассационной жалоб с учетом имеющихся в материалах дела доказательств, суды апелляционной инстанции и округа не установили оснований для отмены решения суда первой инстанции, мотивированно отклонив доводы заявителя. 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«Промгеотек»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