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01.08.2019 (с учетом определения от 08.08.2019) первоначальный иск удовлетворен, в удовлетворении встречного иска отказано.Постановлением Двадцать первого арбитражного апелляционного суда от 11.12.2019 решение суда первой инстанции отменено в части удовлетворения первоначального иска, в его удовлетворении отказано, в остальной части решение оставлено без изменения. Постановлением Арбитражного суда Центрального округа от 18.03.2020 постановление суда апелляционной инстанции оставлено без изменения. В кассационной жалобе, поданной в Верховный Суд Российской Федерации, служба,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спорного контракта, обстоятельства его исполнения сторонами, установив, что общество (исполнитель) предприняло все меры для надлежащего исполнения своих обязательств, при этом служба (заказчик) не оказала ему должного содействия в выполнении условий контракта, суд апелляционной инстанции пришел к выводу о том, что сумма неустойки по первому этапу работ составляет 61 173 руб. 03 коп., а по второму этапу основания для начисления неустойки отсутствуют. Исходя из того, что размер неустойки не превышает 5 процентов от цены контракта, обязательства исполнены обществом в полном объеме в 2016 году, руководствуясь статьями 330 , 758 , 759 , 760 , 762 Гражданского кодекса Российской Федерации, положениями Градостроительного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14.03.2016 № 190 «О случаях и порядке предоставления заказчиком в 2016 году отсрочки уплаты неустоек (штрафов, пеней) и (или) осуществления списания начисленных сумм неустоек (штрафов, пеней)», суд отказал в удовлетворении заявленных службой требований. С указанными выводами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Службы капитального строительства Республики Крым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Служба капитального строительства Республики Крым (подробнее) Ответчики: ООО "Первая Инжиниринговая Компания"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