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Мордовия от 25.05.2019 первоначальный иск удовлетворен частично, с корпорации в пользу общества взыскано 1 518 188 руб. 70 коп. задолженности, 269 401 руб. 17 коп. процентов за пользование чужими денежными средствами за период с 28.12.2016 по 20.02.2019; встречные исковые требования удовлетворены частично, с общества в пользу корпорации взыскано 1 020 605 руб. 47 коп. неустойки за период с 25.11.2015 по 22.09.2016; в результате зачета удовлетворенных требований с корпорации в пользу общества взыскано 758 836 руб. 04 коп. Постановлением Первого арбитражного апелляционного суда от 15.11.2019 решение суда первой инстанции изменено, с корпорации в пользу общества взыскано 1 518 188 руб. 70 коп. задолженности, 269 401 руб. 17 коп. процентов за пользование чужими денежными средствами за период с 28.12.2016 по 20.02.2019, 50 747 руб. 51 коп. процентов за пользование чужими денежными средствами за период с 01.04.2016 по 13.10.2016, в удовлетворении остальной части первоначального иска отказано; с общества в пользу корпорации взыскано 1 020 605 руб. 47 коп. неустойки за период с 25.11.2015 по 22.09.2016, в удовлетворении остальной части встречного иска отказано; в результате зачета удовлетворенных требований с корпорации в пользу общества взыскано 810 726 руб. 55 коп. Постановлением Арбитражного суда Волго-Вятского округа от 14.02.2020 решение суда первой инстанции и постановление суда апелляционной инстанции оставлены без изменения. В кассационной жалобе, поданной в Верховный Суд Российской Федерации, общество просит отменить указанные судебные акты и принять новый судебный акт об удовлетворении первоначальных исковых требований в полном объеме и отказе в удовлетворении встречного иска. Корпорация в своей кассационной жалобе просит отменить указанные судебные акты и принять новый судебный акт об отказе в удовлетворении первоначальных требований и удовлетворении встречного иска в полном объеме. При этом заявители ссылаются на нарушение судами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3 Между тем таких оснований для пересмотра обжалуемых судебных актов в кассационном порядке по доводам, изложенным заявителем жалобы, не установлено. Изменяя решение суда первой инстанции, апелляционный суд, оценив по правилам статьи 71 Арбитражного процессуального кодекса Российской Федерации представленные в материалы дела доказательства, в том числе условия договора генерального подряда от 27.09.2013 № 27.09.13-п (в редакции дополнительных соглашений), а также обстоятельства его исполнения сторонами, руководствуясь статьями 196, 200, 330, 395, 401, 421, 702, 704, 721, 723 Гражданского кодекса Российской Федерации, разъяснениями, приведенными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пришел к выводу о наличии оснований для частичного удовлетворения первоначального и встречного исков, с чем впоследствии согласился суд округа. Выводы судов подробно мотивированы в обжалуемых судебных актах, основаны на представленных в материалы дела доказательствах и установленных на их основании фактических обстоятельствах. Доводы кассационных жалоб не опровергают выводы судов и не подтверждают существенных нарушений судами норм материального и процессуального права, повлиявших на исход дела.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«ВолгаЭнергоСтрой» и акционерного общества «Мордовская ипотечная корпорация»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