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Мордовия от 25.05.2019 первоначальный иск удовлетворен частично, с корпорации в пользу общества взыскано 1 518 188 руб. 70 коп. задолженности, 269 401 руб. 17 коп. процентов за пользование чужими денежными средствами за период с 28.12.2016 по 20.02.2019; встречные исковые требования удовлетворены частично, с общества в пользу корпорации взыскано 1 020 605 руб. 47 коп. неустойки за период с 25.11.2015 по 22.09.2016; в результате зачета удовлетворенных требований с корпорации в пользу общества взыскано 758 836 руб. 04 коп. Постановлением Первого арбитражного апелляционного суда от 15.11.2019 решение суда первой инстанции изменено, с корпорации в пользу общества взыскано 1 518 188 руб. 70 коп. задолженности, 269 401 руб. 17 коп. процентов за пользование чужими денежными средствами за период с 28.12.2016 по 20.02.2019, 50 747 руб. 51 коп. процентов за пользование чужими денежными средствами за период с 01.04.2016 по 13.10.2016, в удовлетворении остальной части первоначального иска отказано; с общества в пользу корпорации взыскано 1 020 605 руб. 47 коп. неустойки за период с 25.11.2015 по 22.09.2016, в удовлетворении остальной части встречного иска отказано; в результате зачета удовлетворенных требований с корпорации в пользу общества взыскано 810 726 руб. 55 коп. Постановлением Арбитражного суда Волго-Вятского округа от 14.02.2020 решение суда первой инстанции и постановление суда апелляционной инстанции оставлены без изменения. В кассационной жалобе, поданной в Верховный Суд Российской Федерации, общество просит отменить указанные судебные акты и принять новый судебный акт об удовлетворении первоначальных исковых требований в полном объеме и отказе в удовлетворении встречного иска. Корпорация в своей кассационной жалобе просит отменить указанные судебные акты и принять новый судебный акт об отказе в удовлетворении первоначальных требований и удовлетворении встречного иска в полном объеме. При этом заявители ссылаются на нарушение судами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Изменяя решение суда первой инстанции, апелляционный суд,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договора генерального подряда от 27.09.2013 № 27.09.13-п (в редакции дополнительных соглашений), а также обстоятельства его исполнения сторонами, руководствуясь статьями 196 , 200 , 330 , 395 , 401 , 421 , 702 , 704 , 721 , 723 Гражданского кодекса Российской Федерации, разъяснениями, приведенными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пришел к выводу о наличии оснований для частичного удовлетворения первоначального и встречного исков, с чем впоследствии согласился суд округа. Выводы судов подробно мотивированы в обжалуемых судебных актах, основаны на представленных в материалы дела доказательствах и установленных на их основании фактических обстоятельствах.Доводы кассационных жалоб не опровергают выводы судов и не подтверждают существенных нарушений судами норм материального и процессуального права, повлиявших на исход дела.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«ВолгаЭнергоСтрой» и акционерного общества «Мордовская ипотечная корпорация»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"Волгаэнергострой" (подробнее) Ответчики: АО "Мордовская ипотечная корпорация" (подробнее) Иные лица: Межрайонная ИФНС №19 по Самарской области (подробнее) Судьи дела: Чучунова Н.С. (судья) (подробнее) Судебная практика по: По договору подряда Судебная практика по применению норм ст. 702, 703 ГК РФ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