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Санкт-Петербурга и Ленинградской области от 02.07.2019, оставленным без изменения постановлением Тринадцатого арбитражного апелляционного суда от 23.10.2019 и постановлением Арбитражного суда Северо-Западного округа от 05.03.2020, иск удовлетворен.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1064, 1079, 1082 Гражданского кодекса Российской Федерации, Правилами охраны газораспределительных сетей, утвержденными постановлением Правительства Российской Федерации от 20.11.2000 № 878, установив вину ответчика, причинно-следственную связь между его противоправными действиями и наступлением вреда, признав подтвержденным размер ущерба, суды первой и апелляционной инстанций пришли к выводу о наличии оснований для удовлетворения иска, с чем впоследствии согласился суд округа. Доводы кассационной жалобы являлись предметом рассмотрения судебных инстанций, получили правовую оценку, по существу направлены на иную оценку доказательств и фактических обстоятельств дела и не подтверждают существенных нарушений норм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«Газстройпроект»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