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31.07.2019, оставленным без изменения постановлением Девятого арбитражного апелляционного суда от 11.11.2019 и постановлением Арбитражного суда Московского округа от 19.02.2020, с общества в пользу предпринимателя взыскано 18 579 971 руб. 70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309 , 310 , 384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исследовав представленные в материалы дела доказательства, в том числе условия договоров участия в долевом строительстве (далее – договоры) и обстоятельства их исполнения сторонами, установив факт нарушения ответчиком срока исполнения обязательств по договорам, проверив расчет неустойки и произведя ее перерасчет, суды первой и апелляционной инстанции взыскали с общества 18 579 971 руб. 70 коп. неустойки, с чем впоследствии согласился суд округа.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«ИНТЕКО»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ИП Стрельников Г.В. (подробнее) Ответчики: АО "ИНТЕКО"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