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30.08.2019, оставленным без изменения постановлением Девятнадцатого арбитражного апелляционного суда от 08.11.2019, заявленные требования удовлетворены. 2 Постановлением Арбитражного суда Центрального округа от 03.02.2020 указанные судебные акты отменены, дело направлено на новое рассмотрение в суд первой инстанции. Общество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Таких обстоятельств в жалобе общества не приведено. При этом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спора. 3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