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Козлов Е.Ю. обратился в суд с заявлением о включении в реестр требований кредиторов должника его требования в размере 62 517 196 рублей 70 копеек основного долга и процентов за пользование чужими денежными средствами, обеспеченных залогом имущества должника. Определением Арбитражного суда Новосибирской области от 22.05.2019, оставленным без изменения постановлением Седьмого арбитражного апелляционного суда от 25.07.2019, заявление удовлетворено. Постановлением Арбитражного суда Западно-Сибирского округа от 05.03.2020 вышеуказанные судебные акты отменены, обособленный спор направлен на новое рассмотрение в Арбитражный суд Новосибирской области.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обособленный спор на новое рассмотрение, суд округа, руководствуясь статьями 19,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пунктом 13 Обзора практики Верховного Суда Российской Федерации № 4 (2017), утверждённого Президиумом Верховного Суда Российской Федерации 15.11.2017), исходил из того, что изложенные в них выводы основаны на неполном выяснении фактических обстоятельств дела, имеющихся в нём доказательств, заслуживающих внимания, однако не получивших надлежащей оценки доводов кредиторов и конкурсного управляющего должником.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заявленных требований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Евгению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