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города Москвы с иском к обществу с ограниченной ответственностью «ТМК Гранд» о взыскании 950 000 рублей задолженности и 12 767 рублей 12 копеек процентов за пользование чужими денежными средствами. Решением Арбитражного суда города Москвы от 24.07.2019, оставленным без изменения постановлением Девятого арбитражного апелляционного суда от 10.10.2019 и постановлением Арбитражного суда Московского округа от 30.01.2020,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Предпринимателем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ФИО1. Срок подачи кассационной жалобы на решение Арбитражного суда города Москвы от 24.07.2019, постановление Девятого арбитражного апелляционного суда от 10.10.2019 и постановление Арбитражного суда Московского округа от 30.01.2020 по делу № А40-36181/2019 восстановить. Судья Верховного Суда Российской Федерации Н.С. Чучунова Суд: Верховный Суд РФ (подробнее) Истцы: ИП Катков П.А. (подробнее) Ответчики: ООО "ТМК ГРАНД" (подробнее) Судьи дела: Чучунова Н.С. (судья) (подробнее) Последние документы по делу: Определение от 30 июня 2020 г. по делу № А40-36181/2019 Определение от 25 мая 2020 г. по делу № А40-36181/2019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