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Луценко В.В. обратился в суд с заявлением о включении в реестр требований кредиторов должника его требования в размере 87 249 071 рублей 98 копеек основного долга и процентов, обеспеченных залогом имущества должника. Определением Арбитражного суда Омской области от 18.06.2019, оставленным без изменения постановлениями Восьмого арбитражного апелляционного суда от 26.08.2019 и Арбитражного суда Западно-Сибирского округа от 27.01.2020,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807- 811 Гражданского кодекса Российской Федерации, статьями 71, 100,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пришли к верному выводу об отсутствии оснований для удовлетворения заявления ввиду отсутствия доказательств, подтверждающих наличие у заявителя финансовой возможности для передачи столь крупной суммы денежных средств директору должника без участия банка или кредитной организации, экономической целесообразности предоставления займа и разумной осмотрительности займодавца как субъекта гражданского оборота.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Луценко Виктору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