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инвестиционно- производственная компания «Атлас»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«Пети Бато» 840 000 рублей неосновательного обогащения. Решением Арбитражного суда города Москвы от 24.06.2019 иск удовлетворен. Постановлением Девятого арбитражного апелляционного суда от 18.11.2019 решение суда первой инстанции оставлено без изменения. Арбитражный суд Московского округа постановлением от 25.02.2020 указанные судебные акты оставил без изменения. Общество с ограниченной ответственностью «Пети Бато»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вступившее в законную силу решение по делу № А40-217704/2017, руководствуясь положениями статей 309 , 310 , 457 , 487 , 1102 Гражданского кодекса Российской Федерации, суды пришли к выводу об отсутствии у ответчика правовых оснований для удержания (зачета) полученной предварительной оплаты в счет оплаты штрафа.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«Пети Бато»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ИНВЕСТИЦИОННО-ПРОИЗВОДСТВЕННАЯ КОМПАНИЯ "АТЛАС" В ЛИЦЕ КОНКУРСНОГО УПРАВЛЯЮЩЕГО САХАРОВА В.В. (подробнее) Ответчики: ООО "ПЕТИ БАТО"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