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об истребовании у бывшего руководителя должника ФИО1 документации, касающейся финансово-хозяйственной деятельности должника, а также двух автомобилей: MITSUBISHI OUTLANDER, государственный регистрационный знак &lt;***&gt;, VIN: &lt;***&gt;, 2015 года выпуска; AUDI Q7, государственный регистрационный знак &lt;***&gt;, VIN: &lt;***&gt;, 2015 года выпуска. Определением Арбитражного суда Чувашской Республики – Чувашии от 13.05.2019, оставленным без изменения Первого арбитражного апелляционного суда от 15.11.2019 и Арбитражного суда Волго-Вятского округа от 13.02.2020, заявление удовлетворено. В кассационной жалобе, поданной в Верховный Суд Российской Федерации, заявитель просит отменить указанные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64, 94, 126 Федерального закона от 26.10.2002 № 127-ФЗ «О несостоятельности (банкротстве)», исходили из отсутствия доказательств, свидетельствующих об исполнении бывшим руководителем должника обязанности по передаче конкурсному управляющему должником истребуемого имущества и документов бухгалтерского учёта и отчётности, отражающих сведения по дебиторской задолженности, в связи с чем удовлетворили заявление.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Управление Федеральной налоговой службы по Чувашской Республике (подробнее) Ответчики: ООО СК "Импульс" (подробнее) Иные лица: ГУ Управление Пенсионного Фонда Российской Федерации в Комсомольском районе Чувашской Республики-Чувашии (подробнее) Министерство внутренних дел по Чувашской Республике (подробнее) ООО "Веста" (подробнее) ООО "Тамбов-Альянс" (подробнее) Отдел адресно-справочной работы УВМ МВД РОссии по г.Москве (подробнее) Отдел адресно-справочной работы УВМ МВД России по ЧР (подробнее) Управление Федеральной службы судебных приставов по Чувашской Республике-Чувашии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