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ефшов» (далее – Общество) обратилось в Арбитражный суд города Москвы с иском к обществу с ограниченной ответственностью «Лига» о взыскании 873 849 рублей 95 копеек убытков в виде реального ущерба за неисполнение договора подряда от 25.12.2017 № Ла/17/39. Решением Арбитражного суда города Москвы от 22.08.2019, оставленным без изменения постановлением Девятого арбитражного апелляционного суда от 19.11.2019 и постановлением Арбитражного суда Московского округа от 11.03.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Дефшов». Срок подачи кассационной жалобы на решение Арбитражного суда города Москвы от 22.08.2019, постановление Девятого арбитражного апелляционного суда от 19.11.2019 и постановление Арбитражного суда Московского округа от 11.03.2020 по делу № А40-73420/2019 восстановить. Судья Верховного Суда Российской Федерации Н.С. Чучунова Суд: Верховный Суд РФ (подробнее) Истцы: ООО "Дефшов" (подробнее) Ответчики: ООО ЛИГ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