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обратились в Верховный Суд Российской Федерации с указанной кассационной жалобой, одновременно заявив ходатайство о восстановлении срока ее подачи. Рассмотрев ходатайство, оценив изложенные в нем доводы, судья находит его подлежащим удовлетворению. Руководствуясь статьями 117, 184, 291.2 Арбитражного процессуального кодекса Российской Федерации, суд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Starr Syndicate Limited, Starr Insurance and Reinsurance Limited, Munchener Ruckversicherungs AG, Dornoch Limited, Catlin Insurance Company (UK) Ltd., Kiln Underwriting Limited, ICP Capital Limited, SCOR Underwriting Limited, F&amp;G UK Underwriters Limited, Aprilgrange Limited, Assicurazioni Generali, Swiss Re Europe S.A., Oriental Insurance Company Limited, The New India Insurance Со Ltd, General Insurance Corporation of India удовлетворить. Срок подачи кассационной жалобы на определение Арбитражного суда Ханты-Мансийского автономного округа – Югры от 15.07.2019 по делу № А75-4871/2013, постановление Восьмого арбитражного апелляционного суда от 15.10.2019 и постановление Арбитражного суда Западно-Сибирского округа от 19.02.2020 по тому же делу восстановить.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