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Уральского округа от 11.02.2020 оставлены без изменения решение от 12.08.2019 и постановление Семнадцатого арбитражного апелляционного суда от 14.11.2019, принятые в порядке упрощенного производства. В силу части 3 статьи 291.11 Арбитражного процессуального кодекса Российской Федерации постановления арбитражных судов округа, которыми не были отменены или изменены судебные акты, принятые в порядке упрощенного производства, не подлежат обжалованию в Судебную коллегию Верховного Суда Российской Федерации. Кассационная жалоба общества «ЮниКредит Лизинг» не отвечает критериям рассмотрения ее в кассационном порядке Верховным Судом Российской Федерации, поэтому производство по ней подлежит прекращению. В связи с подачей документов в электронном виде уплаченная государственная пошлина настоящим определением не возвращается. Руководствуясь пунктом 1 части 1 статьи 150, статьей 184, частью 3 статьи 291.1,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«ЮниКредит Лизинг» прекратить. Судья Верховного Суда Российской Федерации Н.А. Ксенофонтова Суд: Верховный Суд РФ (подробнее) Истцы: ООО "ЮниКредит Лизинг" (подробнее) Ответчики: ПАО Страховое "Ресо-Гарантия"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