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23.05.2019, оставленным без изменения постановлением Восемнадцатого арбитражного апелляционного суда от 22.07.2019, оспариваемое постановление изменено в части назначенного наказания, размер штрафа снижен до 50 000 рублей. Определением Арбитражного суда Уральского округа от 05.12.2019 производство оп кассационной жалобе товарищества прекращено. Постановлением Арбитражного суда Уральского округа от 06.02.2020 указанное определение оставлено без изменения. Товарищество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Возвращая кассационную жалобу, суд округа исходил из положений части 5.1 статьи 211 , пункта 1 части 1 статьи 281 Арбитражного процессуального кодекса Российской Федерации (в редакции, действующей в рассматриваемый момент). Суд округа указал, что, поскольку размер назначенного административного штрафа не превышает 100 000 рублей, судебный акт может быть обжалован в арбитражный суд кассационной инстанции только по основаниям, предусмотренным частью 4 статьи 288 Арбитражного процессуального кодекса Российской Федерации, тогда как таких оснований судом округа не установлено. При этом, рассматривая настоящий спор, суды первой и апелляционной инстанций признали правомерным привлечение товарищества к административной ответственности по статье 7.1 Кодекса Российской Федерации об административных правонарушениях, признав, что оно самовольно заняло и использовало земельный участок в отсутствие прав на него. Товарищество указанные выводы в жалобе не оспаривает. В жалобе товарищество ссылается на наличие обстоятельств, при наличии которых возможно применить положения части 1 статьи 4.1.1 Кодекса Российской Федерации об административных правонарушениях, заменив административное наказание в виде штрафа на предупреждение. Между тем, судами при рассмотрении спора оснований для применения положений статьи 4.1.1 Кодекса Российской Федерации об административных правонарушениях не установлено, штраф снижен судом первой инстанции до 50 000 рублей. Несогласие товарищества с установленными судами фактическими обстоятельствами дела и оценкой доказательств, с толкованием норм законодательства, регулирующего спорные правоотношения,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ТСЖ "Металлург-17" (подробнее) ТСЖ Председатель правления "Металлург-17" Борисова Г.И. (подробнее) Ответчики: Управление Федеральной службы государственной регистрации, кадастра и картографии по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