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12.08.2019, оставленным без изменения постановлением Двадцатого арбитражного апелляционного суда от 03.10.2019, предприниматель привлечена к административной ответственности, предусмотренной частью 3 статьи 14.17 Кодекса Российской Федерации об административных правонарушениях, и ей назначено наказание в виде штрафа в размере 250 000 рублей, изъятая алкогольная продукция направлена на уничтожение в установленном порядке. Постановлением Арбитражного суда Центрального округа от 20.01.2020 указанные судебные акты оставлены без изменения. Предприниматель обратилась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жалобы и принятых по делу судебных актов таких оснований не установлено. Как следует из судебных актов, основанием для составления протокола и обращения в суд с заявлением послужил выявленный административным органом факт организации предпринимателем оборота (хранения) алкогольной продукции без соответствующей лицензии. Частью 3 статьи 14.17 Кодекса Российской Федерации об административных правонарушениях предусмотрена ответственность за производство или оборот этилового спирта, алкогольной и спиртосодержащей продукции без соответствующей лицензии.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3 статьи 14.17 Кодекса Российской Федерации об административных правонарушениях. Признавая правильной произведенную административным органом квалификацию совершенного предпринимателем правонарушения, суды учли правовую позицию, изложенную в пункте 2 Обзора судебной практики «О некоторых вопросах, возникающих при рассмотрении арбитражными судами дел об административных правонарушениях, предусмотренных главой 14 Кодекса Российской Федерации об административных правонарушениях», утвержденного Президиумом Верховного Суда Российской Федерации 06.12.2017. Осуществляя незаконный оборот спиртосодержащей продукции, предприниматель сознавала противоправный характер своих действий, предвидела их последствия и сознательно их допускала либо относилась к ним безразлично. Процедура и срок давности привлечения к административной ответственности соблюдены. Оснований для применения статей 2.9 и 4.1.1 Кодекса Российской Федерации об административных правонарушениях судами не установлено. Поскольку предприниматель не оспаривает, что изъятая продукция является спиртосодержащей продукцией, что подтверждено экспертным заключением, чем в рассматриваемом случае нарушены права предпринимателя, не указано. Протокол о привлечении предпринимателя к административной ответственности составлен в присутствии предпринимателя и вручен ей в день составления. Приведенные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УМВД России по Калужской области (подробнее) Управление организации охраны общественного порядка и взаимодействия с органами исполнительной власти и органами местного самоуправления УМВД России по Калужской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