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мая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22.07.2019, оставленным без изменения постановлением Восемнадцатого арбитражного апелляционного суда от 09.10.2019 и постановлением Арбитражного суда Уральского округа от 28.01.2020, в удовлетворении заявления отказано. В кассационной жалобе, поданной в Верховный Суд Российской Федерации, общество, ссылаясь на существенное нарушение норм права, просит отменить судебные акты и удовлетворить требование.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2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по результатам выездной налоговой проверки общества инспекцией вынесено решение, которым налогоплательщик привлечен к налоговой ответственности на основании пункта 3 статьи 122, статьи 123, пункта 1 статьи 126 Налогового кодекса Российской Федерации (далее - Налогового кодекса) в виде штрафов на сумму 3 152 251 рубль, предложено уплатить недоимку по налогам в размере 10 870 738 рублей и пени в размере 3 133 064 рублей 15 копеек. Основанием для вынесения решения послужили выводы инспекции о необоснованном включении обществом в состав расходов по налогу на прибыль экономически необоснованных затрат по договору от 05.03.2014 № 1 о передаче полномочий единоличного исполнительного органа управляющему - предпринимателю, являющемуся участником общества с долей 95% и ранее выполнявшему обязанности единоличного исполнительного органа по трудовому договору. Решением Управления Федеральной налоговой службы по Челябинской области (далее - управление) от 09.01.2019 № 16-07/00009 решение инспекции оставлено без изменения и утверждено. Решением Федеральной налоговой службы (далее - ФНС России) от 13.06.2019 № СА-4-9/11431 ненормативные акты инспекции и управления отменены в части доначисления сумм налогов, штрафов и пени без учета сумм налога, уплачиваемого при применении упрощенной системы налогообложения с момента заключения предпринимателем договора управления от 05.03.2014 № 1. Во исполнение указанного решения ФНС России управлением произведен перерасчет налога на прибыль и НДФЛ. Не согласившись с решением инспекции в части доначисления налога на прибыль в сумме 6 440 660 рублей, НДФЛ в сумме 4 430 072 рублей, соответствующих сумм пени, привлечения к ответственности по статьям 122, 123 Налогового кодекса, общество обратилось в арбитражный суд. Отказывая в удовлетворении заявления, суды первой и апелляционной инстанций, оценив представленные в материалы дела доказательства, руководствуясь статьями 24, 41, 123, 208, 210, 247, 252, 264, 265 Налогового кодекса, разъяснениями, изложенными в постановлении Пленума Высшего Арбитражного Суда Российской Федерации от 12.10.2006 № 53 «Об оценке арбитражными судами обоснованности получения налогоплательщиком налоговой выгоды», пришли к выводу, что решение инспекции в оспариваемой 3 части соответствует положениям законодательства и не нарушает прав и законных интересов заявителя. Суды установили, что предприниматель, будучи учредителем общества с долей участия 95%, посредством заключения договора с самим собой, существенно увеличивал затраты налогоплательщика, уменьшал показатели валовой прибыли, рентабельности, и, как следствие, налоговых обязательств по налогу на прибыль, а также посредством установления вознаграждения управляющему. При этом суды отметили, что указанные факты, независимо от роста показателей выручки и объемов продаж, свидетельствуют об отсутствии разумной деловой цели для общества в построении применяемой им юридической конструкции и заключении такового договора, направленности действий на получение необоснованной налоговой выгоды в виде искусственно завышенных затрат по налогу на прибыль. Отклоняя доводы заявителя относительно доначислений по НДФЛ, суды указали, что обществом допущено уменьшение налоговых обязательств в связи с искажением сведений о совершенной хозяйственной операции по передаче полномочий единоличного исполнительного органа предпринимателю, доказано отсутствие обоснованной экономической цели на заключение указанной сделки, в связи с чем фиксированная часть вознаграждения предпринимателя правомерно квалифицирована инспекцией как заработная плата Царева Д.В., а переменная часть как доход, полученный физическим лицом от взаимоотношений с обществом. Суд округа поддержал выводы судебных инстанций. Доводы, изложенные в кассационной жалобе, повторяют позицию заявителя по спору, изложенную в судах трех инстанций, являлись предметом рассмотрения судов и получили надлежащую правовую оценку. Указанные доводы не подтверждают существенных нарушений норм материального и норм процессуального права, повлиявших на исход дела, направлены на переоценку доказательств и установление по делу иных фактических обстоятельств, что не может служить основанием для передачи жалобы на рассмотрение в Судебной коллегии Верховного Суда Российской Федерации.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«Проект»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