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02.04.2020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Оценив приведенные предпринимателем причины пропуска процессуального срока, учитывая незначительность пропуска срока, суд признает их уважительными. Поскольку ходатайство о восстановлении пропущенного срока заявлено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185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срока удовлетворить, пропущенный срок на подачу кассационной жалобы восстановить. Судья Верховного СудаРоссийской Федерации Т.В.Завьялова Суд: Верховный Суд РФ (подробнее) Судьи дела: Завьялова Т.В.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